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D0" w:rsidRDefault="00890FD0" w:rsidP="000D4CE6">
      <w:p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b/>
          <w:bCs/>
          <w:color w:val="3A3A3A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ABAA2E" wp14:editId="138BD56B">
            <wp:extent cx="5940425" cy="3075820"/>
            <wp:effectExtent l="0" t="0" r="3175" b="0"/>
            <wp:docPr id="1" name="Рисунок 1" descr="Смета в тендере с НДС, а подрядчик на УС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ета в тендере с НДС, а подрядчик на УСН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5D23" w:rsidRPr="001B5D23" w:rsidRDefault="001B5D23" w:rsidP="000D4CE6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Times New Roman"/>
          <w:color w:val="3A3A3A"/>
          <w:sz w:val="29"/>
          <w:szCs w:val="29"/>
          <w:lang w:eastAsia="ru-RU"/>
        </w:rPr>
      </w:pPr>
      <w:r w:rsidRPr="001B5D23">
        <w:rPr>
          <w:rFonts w:ascii="Helvetica" w:eastAsia="Times New Roman" w:hAnsi="Helvetica" w:cs="Times New Roman"/>
          <w:b/>
          <w:bCs/>
          <w:color w:val="3A3A3A"/>
          <w:sz w:val="29"/>
          <w:szCs w:val="29"/>
          <w:lang w:eastAsia="ru-RU"/>
        </w:rPr>
        <w:t>Какие нормативы накладных расходов и сметной прибыли использовать?</w:t>
      </w:r>
    </w:p>
    <w:p w:rsidR="001B5D23" w:rsidRPr="001B5D23" w:rsidRDefault="001B5D23" w:rsidP="000D4C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F0F0F"/>
          <w:sz w:val="27"/>
          <w:szCs w:val="27"/>
          <w:lang w:eastAsia="ru-RU"/>
        </w:rPr>
      </w:pPr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С 1 июля 2021</w:t>
      </w:r>
      <w:r w:rsidR="000D4CE6">
        <w:rPr>
          <w:rFonts w:eastAsia="Times New Roman" w:cs="Times New Roman"/>
          <w:color w:val="0F0F0F"/>
          <w:sz w:val="27"/>
          <w:szCs w:val="27"/>
          <w:lang w:eastAsia="ru-RU"/>
        </w:rPr>
        <w:t xml:space="preserve"> </w:t>
      </w:r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г</w:t>
      </w:r>
      <w:r w:rsidR="000D4CE6">
        <w:rPr>
          <w:rFonts w:eastAsia="Times New Roman" w:cs="Times New Roman"/>
          <w:color w:val="0F0F0F"/>
          <w:sz w:val="27"/>
          <w:szCs w:val="27"/>
          <w:lang w:eastAsia="ru-RU"/>
        </w:rPr>
        <w:t>.</w:t>
      </w:r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 xml:space="preserve"> для начисления НР и СП пользуйтесь приказами 812/</w:t>
      </w:r>
      <w:proofErr w:type="spellStart"/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пр</w:t>
      </w:r>
      <w:proofErr w:type="spellEnd"/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 xml:space="preserve"> и 774/</w:t>
      </w:r>
      <w:proofErr w:type="spellStart"/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пр</w:t>
      </w:r>
      <w:proofErr w:type="spellEnd"/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, т.к. он</w:t>
      </w:r>
      <w:r w:rsidR="000D4CE6">
        <w:rPr>
          <w:rFonts w:eastAsia="Times New Roman" w:cs="Times New Roman"/>
          <w:color w:val="0F0F0F"/>
          <w:sz w:val="27"/>
          <w:szCs w:val="27"/>
          <w:lang w:eastAsia="ru-RU"/>
        </w:rPr>
        <w:t>и</w:t>
      </w:r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 xml:space="preserve"> включены в ФРСН.</w:t>
      </w:r>
    </w:p>
    <w:p w:rsidR="001B5D23" w:rsidRPr="001B5D23" w:rsidRDefault="001B5D23" w:rsidP="000D4CE6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Times New Roman"/>
          <w:color w:val="3A3A3A"/>
          <w:sz w:val="29"/>
          <w:szCs w:val="29"/>
          <w:lang w:eastAsia="ru-RU"/>
        </w:rPr>
      </w:pPr>
      <w:r w:rsidRPr="001B5D23">
        <w:rPr>
          <w:rFonts w:ascii="Helvetica" w:eastAsia="Times New Roman" w:hAnsi="Helvetica" w:cs="Times New Roman"/>
          <w:b/>
          <w:bCs/>
          <w:color w:val="3A3A3A"/>
          <w:sz w:val="29"/>
          <w:szCs w:val="29"/>
          <w:lang w:eastAsia="ru-RU"/>
        </w:rPr>
        <w:t>Нужно ли применять понижающие коэффициенты к НР и СП – 0,7 и 0,9 по приказам 812/</w:t>
      </w:r>
      <w:proofErr w:type="spellStart"/>
      <w:r w:rsidRPr="001B5D23">
        <w:rPr>
          <w:rFonts w:ascii="Helvetica" w:eastAsia="Times New Roman" w:hAnsi="Helvetica" w:cs="Times New Roman"/>
          <w:b/>
          <w:bCs/>
          <w:color w:val="3A3A3A"/>
          <w:sz w:val="29"/>
          <w:szCs w:val="29"/>
          <w:lang w:eastAsia="ru-RU"/>
        </w:rPr>
        <w:t>пр</w:t>
      </w:r>
      <w:proofErr w:type="spellEnd"/>
      <w:r w:rsidRPr="001B5D23">
        <w:rPr>
          <w:rFonts w:ascii="Helvetica" w:eastAsia="Times New Roman" w:hAnsi="Helvetica" w:cs="Times New Roman"/>
          <w:b/>
          <w:bCs/>
          <w:color w:val="3A3A3A"/>
          <w:sz w:val="29"/>
          <w:szCs w:val="29"/>
          <w:lang w:eastAsia="ru-RU"/>
        </w:rPr>
        <w:t xml:space="preserve"> и 774/</w:t>
      </w:r>
      <w:proofErr w:type="spellStart"/>
      <w:r w:rsidRPr="001B5D23">
        <w:rPr>
          <w:rFonts w:ascii="Helvetica" w:eastAsia="Times New Roman" w:hAnsi="Helvetica" w:cs="Times New Roman"/>
          <w:b/>
          <w:bCs/>
          <w:color w:val="3A3A3A"/>
          <w:sz w:val="29"/>
          <w:szCs w:val="29"/>
          <w:lang w:eastAsia="ru-RU"/>
        </w:rPr>
        <w:t>пр</w:t>
      </w:r>
      <w:proofErr w:type="spellEnd"/>
      <w:r w:rsidRPr="001B5D23">
        <w:rPr>
          <w:rFonts w:ascii="Helvetica" w:eastAsia="Times New Roman" w:hAnsi="Helvetica" w:cs="Times New Roman"/>
          <w:b/>
          <w:bCs/>
          <w:color w:val="3A3A3A"/>
          <w:sz w:val="29"/>
          <w:szCs w:val="29"/>
          <w:lang w:eastAsia="ru-RU"/>
        </w:rPr>
        <w:t>?</w:t>
      </w:r>
    </w:p>
    <w:p w:rsidR="001B5D23" w:rsidRPr="001B5D23" w:rsidRDefault="001B5D23" w:rsidP="000D4C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F0F0F"/>
          <w:sz w:val="27"/>
          <w:szCs w:val="27"/>
          <w:lang w:eastAsia="ru-RU"/>
        </w:rPr>
      </w:pPr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Понижающие коэффициенты 0,7 и 0,9 не нужно применять, т.к. они не указаны в приказах 812/</w:t>
      </w:r>
      <w:proofErr w:type="spellStart"/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пр</w:t>
      </w:r>
      <w:proofErr w:type="spellEnd"/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 xml:space="preserve"> и 774/пр.</w:t>
      </w:r>
    </w:p>
    <w:p w:rsidR="001B5D23" w:rsidRPr="001B5D23" w:rsidRDefault="001B5D23" w:rsidP="000D4CE6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Times New Roman"/>
          <w:color w:val="3A3A3A"/>
          <w:sz w:val="29"/>
          <w:szCs w:val="29"/>
          <w:lang w:eastAsia="ru-RU"/>
        </w:rPr>
      </w:pPr>
      <w:r w:rsidRPr="001B5D23">
        <w:rPr>
          <w:rFonts w:ascii="Helvetica" w:eastAsia="Times New Roman" w:hAnsi="Helvetica" w:cs="Times New Roman"/>
          <w:b/>
          <w:bCs/>
          <w:color w:val="3A3A3A"/>
          <w:sz w:val="29"/>
          <w:szCs w:val="29"/>
          <w:lang w:eastAsia="ru-RU"/>
        </w:rPr>
        <w:t>А почему раньше применяли понижающие коэффициенты при УСН?</w:t>
      </w:r>
    </w:p>
    <w:p w:rsidR="001B5D23" w:rsidRPr="001B5D23" w:rsidRDefault="001B5D23" w:rsidP="000D4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</w:pPr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При начислении НР и СП по МДС-33, МДС-34, МДС-25 применяли понижающие коэффициенты к НР и СП.</w:t>
      </w:r>
    </w:p>
    <w:p w:rsidR="001B5D23" w:rsidRPr="001B5D23" w:rsidRDefault="001B5D23" w:rsidP="000D4CE6">
      <w:pPr>
        <w:shd w:val="clear" w:color="auto" w:fill="FFFFFF"/>
        <w:spacing w:beforeAutospacing="1" w:after="0" w:afterAutospacing="1" w:line="240" w:lineRule="auto"/>
        <w:jc w:val="both"/>
        <w:rPr>
          <w:rFonts w:eastAsia="Times New Roman" w:cs="Times New Roman"/>
          <w:color w:val="0F0F0F"/>
          <w:sz w:val="27"/>
          <w:szCs w:val="27"/>
          <w:lang w:eastAsia="ru-RU"/>
        </w:rPr>
      </w:pPr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0,7 к НР применяли согласно п.4.7 МДС81-33.2004</w:t>
      </w:r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br/>
        <w:t>0,9 к СП применяли  согласно примечанию 2 к приложению 1 письма Федерального агентства от 18.11.2004 No5536/06</w:t>
      </w:r>
    </w:p>
    <w:p w:rsidR="001B5D23" w:rsidRPr="001B5D23" w:rsidRDefault="001B5D23" w:rsidP="000D4CE6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Times New Roman"/>
          <w:color w:val="3A3A3A"/>
          <w:sz w:val="29"/>
          <w:szCs w:val="29"/>
          <w:lang w:eastAsia="ru-RU"/>
        </w:rPr>
      </w:pPr>
      <w:r w:rsidRPr="001B5D23">
        <w:rPr>
          <w:rFonts w:ascii="Helvetica" w:eastAsia="Times New Roman" w:hAnsi="Helvetica" w:cs="Times New Roman"/>
          <w:b/>
          <w:bCs/>
          <w:color w:val="3A3A3A"/>
          <w:sz w:val="29"/>
          <w:szCs w:val="29"/>
          <w:lang w:eastAsia="ru-RU"/>
        </w:rPr>
        <w:t>Тендер выиграл подрядчик на УСН, а в закупочной документации стоимость с НДС. Как оформить документы?</w:t>
      </w:r>
    </w:p>
    <w:p w:rsidR="001B5D23" w:rsidRPr="001B5D23" w:rsidRDefault="001B5D23" w:rsidP="000D4CE6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</w:pPr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Согласно ФЗ-44 (часть 2 статьи 34), </w:t>
      </w:r>
      <w:r w:rsidRPr="001B5D23">
        <w:rPr>
          <w:rFonts w:ascii="Helvetica" w:eastAsia="Times New Roman" w:hAnsi="Helvetica" w:cs="Times New Roman"/>
          <w:color w:val="0F0F0F"/>
          <w:sz w:val="27"/>
          <w:szCs w:val="27"/>
          <w:u w:val="single"/>
          <w:lang w:eastAsia="ru-RU"/>
        </w:rPr>
        <w:t>цена контракта не изменяется в зависимости от налогообложения подрядчика.</w:t>
      </w:r>
    </w:p>
    <w:p w:rsidR="001B5D23" w:rsidRDefault="001B5D23" w:rsidP="000D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D2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0f0f0f" stroked="f"/>
        </w:pict>
      </w:r>
    </w:p>
    <w:p w:rsidR="000D4CE6" w:rsidRPr="001B5D23" w:rsidRDefault="000D4CE6" w:rsidP="000D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D23" w:rsidRPr="001B5D23" w:rsidRDefault="001B5D23" w:rsidP="000D4CE6">
      <w:p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Times New Roman"/>
          <w:color w:val="3A3A3A"/>
          <w:sz w:val="29"/>
          <w:szCs w:val="29"/>
          <w:lang w:eastAsia="ru-RU"/>
        </w:rPr>
      </w:pPr>
      <w:r w:rsidRPr="001B5D23">
        <w:rPr>
          <w:rFonts w:ascii="Helvetica" w:eastAsia="Times New Roman" w:hAnsi="Helvetica" w:cs="Times New Roman"/>
          <w:i/>
          <w:iCs/>
          <w:color w:val="3A3A3A"/>
          <w:sz w:val="29"/>
          <w:szCs w:val="29"/>
          <w:lang w:eastAsia="ru-RU"/>
        </w:rPr>
        <w:lastRenderedPageBreak/>
        <w:t xml:space="preserve">Официальный комментарий </w:t>
      </w:r>
      <w:proofErr w:type="spellStart"/>
      <w:r w:rsidRPr="001B5D23">
        <w:rPr>
          <w:rFonts w:ascii="Helvetica" w:eastAsia="Times New Roman" w:hAnsi="Helvetica" w:cs="Times New Roman"/>
          <w:i/>
          <w:iCs/>
          <w:color w:val="3A3A3A"/>
          <w:sz w:val="29"/>
          <w:szCs w:val="29"/>
          <w:lang w:eastAsia="ru-RU"/>
        </w:rPr>
        <w:t>Главгосэкспертизы</w:t>
      </w:r>
      <w:proofErr w:type="spellEnd"/>
      <w:r w:rsidRPr="001B5D23">
        <w:rPr>
          <w:rFonts w:ascii="Helvetica" w:eastAsia="Times New Roman" w:hAnsi="Helvetica" w:cs="Times New Roman"/>
          <w:i/>
          <w:iCs/>
          <w:color w:val="3A3A3A"/>
          <w:sz w:val="29"/>
          <w:szCs w:val="29"/>
          <w:lang w:eastAsia="ru-RU"/>
        </w:rPr>
        <w:t>:</w:t>
      </w:r>
    </w:p>
    <w:p w:rsidR="001B5D23" w:rsidRPr="001B5D23" w:rsidRDefault="001B5D23" w:rsidP="000D4CE6">
      <w:pPr>
        <w:numPr>
          <w:ilvl w:val="0"/>
          <w:numId w:val="1"/>
        </w:numPr>
        <w:shd w:val="clear" w:color="auto" w:fill="FFFFFF"/>
        <w:spacing w:after="0" w:line="240" w:lineRule="auto"/>
        <w:ind w:left="375" w:right="150"/>
        <w:jc w:val="both"/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</w:pPr>
      <w:hyperlink r:id="rId6" w:history="1">
        <w:r w:rsidRPr="001B5D23">
          <w:rPr>
            <w:rFonts w:ascii="Helvetica" w:eastAsia="Times New Roman" w:hAnsi="Helvetica" w:cs="Times New Roman"/>
            <w:color w:val="0091D4"/>
            <w:sz w:val="27"/>
            <w:szCs w:val="27"/>
            <w:u w:val="single"/>
            <w:lang w:eastAsia="ru-RU"/>
          </w:rPr>
          <w:t>Накладные расходы и сметная прибыль</w:t>
        </w:r>
        <w:r w:rsidRPr="001B5D23">
          <w:rPr>
            <w:rFonts w:ascii="Helvetica" w:eastAsia="Times New Roman" w:hAnsi="Helvetica" w:cs="Times New Roman"/>
            <w:color w:val="0091D4"/>
            <w:sz w:val="27"/>
            <w:szCs w:val="27"/>
            <w:u w:val="single"/>
            <w:lang w:eastAsia="ru-RU"/>
          </w:rPr>
          <w:br/>
          <w:t>Вопрос: Прошу дать разъяснения по следующим позициям:</w:t>
        </w:r>
        <w:r w:rsidRPr="001B5D23">
          <w:rPr>
            <w:rFonts w:ascii="Helvetica" w:eastAsia="Times New Roman" w:hAnsi="Helvetica" w:cs="Times New Roman"/>
            <w:color w:val="0091D4"/>
            <w:sz w:val="27"/>
            <w:szCs w:val="27"/>
            <w:u w:val="single"/>
            <w:lang w:eastAsia="ru-RU"/>
          </w:rPr>
          <w:br/>
          <w:t>1. Какой порядок определения накладных расходов и сметной прибыли, осуществляемого организациями, работающими по УСН?</w:t>
        </w:r>
        <w:r w:rsidRPr="001B5D23">
          <w:rPr>
            <w:rFonts w:ascii="Helvetica" w:eastAsia="Times New Roman" w:hAnsi="Helvetica" w:cs="Times New Roman"/>
            <w:color w:val="0091D4"/>
            <w:sz w:val="27"/>
            <w:szCs w:val="27"/>
            <w:u w:val="single"/>
            <w:lang w:eastAsia="ru-RU"/>
          </w:rPr>
          <w:br/>
          <w:t>2. Каким образом при определении сметной стоимости строительства производится расчет средств, необходимых для возмещения затрат организаций по уплате ими НДС поставщикам материальных ресурсов и другим организациям за оказание услуг?</w:t>
        </w:r>
      </w:hyperlink>
    </w:p>
    <w:p w:rsidR="001B5D23" w:rsidRPr="001B5D23" w:rsidRDefault="001B5D23" w:rsidP="000D4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</w:pPr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Определение сметной стоимости строительства на этапе архитектурно-строительного проектирования по объектам, финансируемым в порядке, установленном частью 1 статьи 8.3 Градостроительного кодекса Российской Федерации, осуществляется с обязательным применением сметных нормативов, сведения о которых включены в федеральный реестр сметных нормативов, и сметных цен строительных ресурсов. Указанная сметная стоимость строительства используется при формировании начальной (максимальной) цены контрактов, цены контрактов, заключаемых с единственным поставщиком (подрядчиком, исполнителем), предметом которых является выполнение работ по строительству, реконструкции, капитальному ремонту, сносу объектов капитального строительства, сохранению объектов культурного наследия. При этом сметные нормативы и сметные цены строительных ресурсов, использованные при определении сметной стоимости строительства, не подлежат применению при исполнении указанных контрактов или договоров, если иное не предусмотрено таким контрактом или таким договором.</w:t>
      </w:r>
    </w:p>
    <w:p w:rsidR="001B5D23" w:rsidRPr="001B5D23" w:rsidRDefault="001B5D23" w:rsidP="000D4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</w:pPr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Методикой определения сметной стоимости строительства, реконструкции и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Минстроя России от 04.08.2020 № 421/</w:t>
      </w:r>
      <w:proofErr w:type="spellStart"/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пр</w:t>
      </w:r>
      <w:proofErr w:type="spellEnd"/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 xml:space="preserve"> (далее – Методика № 421/</w:t>
      </w:r>
      <w:proofErr w:type="spellStart"/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пр</w:t>
      </w:r>
      <w:proofErr w:type="spellEnd"/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), установлены единые методы формирования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на этапе архитектурно-строительного проектирования, подготовки сметы на снос объекта капитального строительства.</w:t>
      </w:r>
    </w:p>
    <w:p w:rsidR="001B5D23" w:rsidRPr="001B5D23" w:rsidRDefault="001B5D23" w:rsidP="000D4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</w:pPr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В соответствии с пунктом 180 Методики № 421/</w:t>
      </w:r>
      <w:proofErr w:type="spellStart"/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пр</w:t>
      </w:r>
      <w:proofErr w:type="spellEnd"/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 xml:space="preserve"> за итогом сводного сметного расчета приводится сумма налога на добавленную стоимость (далее – НДС), принимаемого в размере, установленном законодательством Российской Федерации.</w:t>
      </w:r>
    </w:p>
    <w:p w:rsidR="001B5D23" w:rsidRPr="001B5D23" w:rsidRDefault="001B5D23" w:rsidP="000D4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</w:pPr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lastRenderedPageBreak/>
        <w:t>Согласно пункту 181 Методики № 421/</w:t>
      </w:r>
      <w:proofErr w:type="spellStart"/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пр</w:t>
      </w:r>
      <w:proofErr w:type="spellEnd"/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 xml:space="preserve"> расчет суммы НДС выполняется от итогов глав 1–12 сводного сметного расчета с учетом резерва средств на непредвиденные работы и затраты, за исключением стоимости работ и услуг, не подлежащих налогообложению в соответствии со статьей 149 Налогового кодекса Российской Федерации.</w:t>
      </w:r>
    </w:p>
    <w:p w:rsidR="001B5D23" w:rsidRPr="001B5D23" w:rsidRDefault="001B5D23" w:rsidP="000D4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</w:pPr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Учитывая изложенное, сметная стоимость строительства, определяемая на этапе архитектурно-строительного проектирования, используется в целях формирования начальной (максимальной) цены контрактов на этапе, когда подрядчик (исполнитель) работ не определен, а также при формировании цены контрактов, заключаемых с единственным поставщиком (подрядчиком, исполнителем), предметом которых является выполнение работ по строительству, реконструкции, капитальному ремонту, сносу объектов капитального строительства, сохранению объектов культурного наследия.</w:t>
      </w:r>
    </w:p>
    <w:p w:rsidR="001B5D23" w:rsidRPr="001B5D23" w:rsidRDefault="001B5D23" w:rsidP="000D4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</w:pPr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В соответствии с частью 1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1B5D23" w:rsidRPr="001B5D23" w:rsidRDefault="001B5D23" w:rsidP="000D4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</w:pPr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Частью 2 статьи 34 Закона № 44-ФЗ установлено, что 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статьями 34 и 95 Закона № 44-ФЗ.</w:t>
      </w:r>
    </w:p>
    <w:p w:rsidR="001B5D23" w:rsidRPr="001B5D23" w:rsidRDefault="001B5D23" w:rsidP="000D4C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</w:pPr>
      <w:r w:rsidRPr="001B5D23">
        <w:rPr>
          <w:rFonts w:ascii="Helvetica" w:eastAsia="Times New Roman" w:hAnsi="Helvetica" w:cs="Times New Roman"/>
          <w:color w:val="0F0F0F"/>
          <w:sz w:val="27"/>
          <w:szCs w:val="27"/>
          <w:lang w:eastAsia="ru-RU"/>
        </w:rPr>
        <w:t>Таким образом законодательством о контрактной системе не установлена возможность корректировки цены контракта в зависимости от используемой подрядной организацией системы налогообложения.</w:t>
      </w:r>
    </w:p>
    <w:p w:rsidR="00DB29A4" w:rsidRDefault="00DB29A4" w:rsidP="000D4CE6">
      <w:pPr>
        <w:jc w:val="both"/>
      </w:pPr>
    </w:p>
    <w:sectPr w:rsidR="00DB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86463"/>
    <w:multiLevelType w:val="multilevel"/>
    <w:tmpl w:val="E46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0C"/>
    <w:rsid w:val="000D4CE6"/>
    <w:rsid w:val="001B5D23"/>
    <w:rsid w:val="00225273"/>
    <w:rsid w:val="00313A0C"/>
    <w:rsid w:val="00890FD0"/>
    <w:rsid w:val="00DB29A4"/>
    <w:rsid w:val="00E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CE62"/>
  <w15:chartTrackingRefBased/>
  <w15:docId w15:val="{136D4833-623B-4CED-AF03-7AB30A9E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ge.ru/services/questions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adm2</cp:lastModifiedBy>
  <cp:revision>6</cp:revision>
  <dcterms:created xsi:type="dcterms:W3CDTF">2021-08-20T11:01:00Z</dcterms:created>
  <dcterms:modified xsi:type="dcterms:W3CDTF">2021-08-20T11:07:00Z</dcterms:modified>
</cp:coreProperties>
</file>